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C1403" w14:textId="77777777" w:rsidR="003C0E44" w:rsidRPr="003C0E44" w:rsidRDefault="003C0E44" w:rsidP="003C0E44">
      <w:pPr>
        <w:rPr>
          <w:sz w:val="24"/>
          <w:szCs w:val="24"/>
        </w:rPr>
      </w:pPr>
      <w:bookmarkStart w:id="0" w:name="_GoBack"/>
      <w:bookmarkEnd w:id="0"/>
      <w:r w:rsidRPr="003C0E44">
        <w:rPr>
          <w:noProof/>
          <w:sz w:val="24"/>
          <w:szCs w:val="24"/>
        </w:rPr>
        <w:drawing>
          <wp:anchor distT="0" distB="0" distL="114300" distR="114300" simplePos="0" relativeHeight="251662336" behindDoc="1" locked="0" layoutInCell="1" allowOverlap="1" wp14:anchorId="2816BA80" wp14:editId="0AFD8331">
            <wp:simplePos x="0" y="0"/>
            <wp:positionH relativeFrom="margin">
              <wp:posOffset>1809750</wp:posOffset>
            </wp:positionH>
            <wp:positionV relativeFrom="paragraph">
              <wp:posOffset>9525</wp:posOffset>
            </wp:positionV>
            <wp:extent cx="2129155" cy="1171575"/>
            <wp:effectExtent l="0" t="0" r="4445" b="9525"/>
            <wp:wrapTight wrapText="bothSides">
              <wp:wrapPolygon edited="0">
                <wp:start x="0" y="0"/>
                <wp:lineTo x="0" y="21424"/>
                <wp:lineTo x="21452" y="21424"/>
                <wp:lineTo x="2145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29155" cy="1171575"/>
                    </a:xfrm>
                    <a:prstGeom prst="rect">
                      <a:avLst/>
                    </a:prstGeom>
                    <a:noFill/>
                  </pic:spPr>
                </pic:pic>
              </a:graphicData>
            </a:graphic>
            <wp14:sizeRelH relativeFrom="page">
              <wp14:pctWidth>0</wp14:pctWidth>
            </wp14:sizeRelH>
            <wp14:sizeRelV relativeFrom="page">
              <wp14:pctHeight>0</wp14:pctHeight>
            </wp14:sizeRelV>
          </wp:anchor>
        </w:drawing>
      </w:r>
      <w:r w:rsidRPr="003C0E44">
        <w:rPr>
          <w:noProof/>
          <w:sz w:val="24"/>
          <w:szCs w:val="24"/>
        </w:rPr>
        <mc:AlternateContent>
          <mc:Choice Requires="wps">
            <w:drawing>
              <wp:anchor distT="0" distB="0" distL="114300" distR="114300" simplePos="0" relativeHeight="251660288" behindDoc="0" locked="0" layoutInCell="1" allowOverlap="1" wp14:anchorId="3A9E953D" wp14:editId="70D025F7">
                <wp:simplePos x="0" y="0"/>
                <wp:positionH relativeFrom="margin">
                  <wp:posOffset>-85725</wp:posOffset>
                </wp:positionH>
                <wp:positionV relativeFrom="paragraph">
                  <wp:posOffset>-57150</wp:posOffset>
                </wp:positionV>
                <wp:extent cx="1990725" cy="1276350"/>
                <wp:effectExtent l="0" t="0" r="952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1276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4CA487" w14:textId="77777777" w:rsidR="003C0E44" w:rsidRPr="003C0E44" w:rsidRDefault="003C0E44" w:rsidP="003C0E44">
                            <w:pPr>
                              <w:rPr>
                                <w:b/>
                                <w:sz w:val="22"/>
                                <w:szCs w:val="22"/>
                              </w:rPr>
                            </w:pPr>
                            <w:r w:rsidRPr="003C0E44">
                              <w:rPr>
                                <w:b/>
                                <w:sz w:val="22"/>
                                <w:szCs w:val="22"/>
                              </w:rPr>
                              <w:t>Headquarters</w:t>
                            </w:r>
                          </w:p>
                          <w:p w14:paraId="5F50C1AF" w14:textId="77777777" w:rsidR="003C0E44" w:rsidRPr="003C0E44" w:rsidRDefault="003C0E44" w:rsidP="003C0E44">
                            <w:pPr>
                              <w:rPr>
                                <w:sz w:val="22"/>
                                <w:szCs w:val="22"/>
                              </w:rPr>
                            </w:pPr>
                            <w:r w:rsidRPr="003C0E44">
                              <w:rPr>
                                <w:sz w:val="22"/>
                                <w:szCs w:val="22"/>
                              </w:rPr>
                              <w:t>4501 College Blvd, #225</w:t>
                            </w:r>
                            <w:r w:rsidRPr="003C0E44">
                              <w:rPr>
                                <w:sz w:val="22"/>
                                <w:szCs w:val="22"/>
                              </w:rPr>
                              <w:br/>
                              <w:t>Leawood, KS 66211-1921</w:t>
                            </w:r>
                          </w:p>
                          <w:p w14:paraId="38232CF8" w14:textId="77777777" w:rsidR="003C0E44" w:rsidRPr="003C0E44" w:rsidRDefault="003C0E44" w:rsidP="003C0E44">
                            <w:pPr>
                              <w:rPr>
                                <w:sz w:val="22"/>
                                <w:szCs w:val="22"/>
                              </w:rPr>
                            </w:pPr>
                            <w:r w:rsidRPr="003C0E44">
                              <w:rPr>
                                <w:sz w:val="22"/>
                                <w:szCs w:val="22"/>
                              </w:rPr>
                              <w:t>816-756-3140</w:t>
                            </w:r>
                          </w:p>
                          <w:p w14:paraId="3880EA21" w14:textId="77777777" w:rsidR="003C0E44" w:rsidRPr="003C0E44" w:rsidRDefault="003C0E44" w:rsidP="003C0E44">
                            <w:pPr>
                              <w:rPr>
                                <w:sz w:val="22"/>
                                <w:szCs w:val="22"/>
                              </w:rPr>
                            </w:pPr>
                            <w:r w:rsidRPr="003C0E44">
                              <w:rPr>
                                <w:sz w:val="22"/>
                                <w:szCs w:val="22"/>
                              </w:rPr>
                              <w:t>Fax: 816-756-3144</w:t>
                            </w:r>
                          </w:p>
                          <w:p w14:paraId="44A2CB21" w14:textId="77777777" w:rsidR="003C0E44" w:rsidRPr="008A303D" w:rsidRDefault="003C0E44" w:rsidP="003C0E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BA5986" id="_x0000_t202" coordsize="21600,21600" o:spt="202" path="m,l,21600r21600,l21600,xe">
                <v:stroke joinstyle="miter"/>
                <v:path gradientshapeok="t" o:connecttype="rect"/>
              </v:shapetype>
              <v:shape id="Text Box 3" o:spid="_x0000_s1026" type="#_x0000_t202" style="position:absolute;margin-left:-6.75pt;margin-top:-4.5pt;width:156.75pt;height:10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" stroked="f">
                <v:textbox>
                  <w:txbxContent>
                    <w:p w:rsidR="003C0E44" w:rsidRPr="003C0E44" w:rsidRDefault="003C0E44" w:rsidP="003C0E44">
                      <w:pPr>
                        <w:rPr>
                          <w:b/>
                          <w:sz w:val="22"/>
                          <w:szCs w:val="22"/>
                        </w:rPr>
                      </w:pPr>
                      <w:r w:rsidRPr="003C0E44">
                        <w:rPr>
                          <w:b/>
                          <w:sz w:val="22"/>
                          <w:szCs w:val="22"/>
                        </w:rPr>
                        <w:t>Headquarters</w:t>
                      </w:r>
                    </w:p>
                    <w:p w:rsidR="003C0E44" w:rsidRPr="003C0E44" w:rsidRDefault="003C0E44" w:rsidP="003C0E44">
                      <w:pPr>
                        <w:rPr>
                          <w:sz w:val="22"/>
                          <w:szCs w:val="22"/>
                        </w:rPr>
                      </w:pPr>
                      <w:r w:rsidRPr="003C0E44">
                        <w:rPr>
                          <w:sz w:val="22"/>
                          <w:szCs w:val="22"/>
                        </w:rPr>
                        <w:t>4501 College Blvd, #225</w:t>
                      </w:r>
                      <w:r w:rsidRPr="003C0E44">
                        <w:rPr>
                          <w:sz w:val="22"/>
                          <w:szCs w:val="22"/>
                        </w:rPr>
                        <w:br/>
                        <w:t>Leawood, KS 66211-1921</w:t>
                      </w:r>
                    </w:p>
                    <w:p w:rsidR="003C0E44" w:rsidRPr="003C0E44" w:rsidRDefault="003C0E44" w:rsidP="003C0E44">
                      <w:pPr>
                        <w:rPr>
                          <w:sz w:val="22"/>
                          <w:szCs w:val="22"/>
                        </w:rPr>
                      </w:pPr>
                      <w:r w:rsidRPr="003C0E44">
                        <w:rPr>
                          <w:sz w:val="22"/>
                          <w:szCs w:val="22"/>
                        </w:rPr>
                        <w:t>816-756-3140</w:t>
                      </w:r>
                    </w:p>
                    <w:p w:rsidR="003C0E44" w:rsidRPr="003C0E44" w:rsidRDefault="003C0E44" w:rsidP="003C0E44">
                      <w:pPr>
                        <w:rPr>
                          <w:sz w:val="22"/>
                          <w:szCs w:val="22"/>
                        </w:rPr>
                      </w:pPr>
                      <w:r w:rsidRPr="003C0E44">
                        <w:rPr>
                          <w:sz w:val="22"/>
                          <w:szCs w:val="22"/>
                        </w:rPr>
                        <w:t>Fax: 816-756-3144</w:t>
                      </w:r>
                    </w:p>
                    <w:p w:rsidR="003C0E44" w:rsidRPr="008A303D" w:rsidRDefault="003C0E44" w:rsidP="003C0E44"/>
                  </w:txbxContent>
                </v:textbox>
                <w10:wrap anchorx="margin"/>
              </v:shape>
            </w:pict>
          </mc:Fallback>
        </mc:AlternateContent>
      </w:r>
      <w:r w:rsidRPr="003C0E44">
        <w:rPr>
          <w:noProof/>
          <w:sz w:val="24"/>
          <w:szCs w:val="24"/>
        </w:rPr>
        <mc:AlternateContent>
          <mc:Choice Requires="wps">
            <w:drawing>
              <wp:anchor distT="0" distB="0" distL="114300" distR="114300" simplePos="0" relativeHeight="251661312" behindDoc="0" locked="0" layoutInCell="1" allowOverlap="1" wp14:anchorId="7C4D68A4" wp14:editId="40B45BC8">
                <wp:simplePos x="0" y="0"/>
                <wp:positionH relativeFrom="margin">
                  <wp:posOffset>3886200</wp:posOffset>
                </wp:positionH>
                <wp:positionV relativeFrom="paragraph">
                  <wp:posOffset>-51435</wp:posOffset>
                </wp:positionV>
                <wp:extent cx="2152650" cy="1381125"/>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1381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E2C844" w14:textId="77777777" w:rsidR="003C0E44" w:rsidRPr="003C0E44" w:rsidRDefault="003C0E44" w:rsidP="003C0E44">
                            <w:pPr>
                              <w:jc w:val="right"/>
                              <w:rPr>
                                <w:b/>
                                <w:sz w:val="22"/>
                                <w:szCs w:val="22"/>
                              </w:rPr>
                            </w:pPr>
                            <w:r w:rsidRPr="003C0E44">
                              <w:rPr>
                                <w:b/>
                                <w:sz w:val="22"/>
                                <w:szCs w:val="22"/>
                              </w:rPr>
                              <w:t>Government Affairs Office</w:t>
                            </w:r>
                          </w:p>
                          <w:p w14:paraId="7D299970" w14:textId="77777777" w:rsidR="003C0E44" w:rsidRPr="003C0E44" w:rsidRDefault="003C0E44" w:rsidP="003C0E44">
                            <w:pPr>
                              <w:jc w:val="right"/>
                              <w:rPr>
                                <w:sz w:val="22"/>
                                <w:szCs w:val="22"/>
                              </w:rPr>
                            </w:pPr>
                            <w:r w:rsidRPr="003C0E44">
                              <w:rPr>
                                <w:sz w:val="22"/>
                                <w:szCs w:val="22"/>
                              </w:rPr>
                              <w:t>1025 Vermont Avenue</w:t>
                            </w:r>
                          </w:p>
                          <w:p w14:paraId="3FF05B7E" w14:textId="77777777" w:rsidR="003C0E44" w:rsidRPr="003C0E44" w:rsidRDefault="003C0E44" w:rsidP="003C0E44">
                            <w:pPr>
                              <w:jc w:val="right"/>
                              <w:rPr>
                                <w:sz w:val="22"/>
                                <w:szCs w:val="22"/>
                              </w:rPr>
                            </w:pPr>
                            <w:r w:rsidRPr="003C0E44">
                              <w:rPr>
                                <w:sz w:val="22"/>
                                <w:szCs w:val="22"/>
                              </w:rPr>
                              <w:t>Suite 1100</w:t>
                            </w:r>
                          </w:p>
                          <w:p w14:paraId="02F2C9B8" w14:textId="77777777" w:rsidR="003C0E44" w:rsidRPr="003C0E44" w:rsidRDefault="003C0E44" w:rsidP="003C0E44">
                            <w:pPr>
                              <w:jc w:val="right"/>
                              <w:rPr>
                                <w:sz w:val="22"/>
                                <w:szCs w:val="22"/>
                              </w:rPr>
                            </w:pPr>
                            <w:r w:rsidRPr="003C0E44">
                              <w:rPr>
                                <w:sz w:val="22"/>
                                <w:szCs w:val="22"/>
                              </w:rPr>
                              <w:t>Washington, D.C. 20005</w:t>
                            </w:r>
                          </w:p>
                          <w:p w14:paraId="37313C43" w14:textId="77777777" w:rsidR="003C0E44" w:rsidRPr="003C0E44" w:rsidRDefault="003C0E44" w:rsidP="003C0E44">
                            <w:pPr>
                              <w:jc w:val="right"/>
                              <w:rPr>
                                <w:sz w:val="22"/>
                                <w:szCs w:val="22"/>
                              </w:rPr>
                            </w:pPr>
                            <w:r w:rsidRPr="003C0E44">
                              <w:rPr>
                                <w:sz w:val="22"/>
                                <w:szCs w:val="22"/>
                              </w:rPr>
                              <w:t>202-639-0550</w:t>
                            </w:r>
                          </w:p>
                          <w:p w14:paraId="76E19474" w14:textId="77777777" w:rsidR="003C0E44" w:rsidRPr="003C0E44" w:rsidRDefault="003C0E44" w:rsidP="003C0E44">
                            <w:pPr>
                              <w:jc w:val="right"/>
                              <w:rPr>
                                <w:sz w:val="22"/>
                                <w:szCs w:val="22"/>
                              </w:rPr>
                            </w:pPr>
                            <w:r w:rsidRPr="003C0E44">
                              <w:rPr>
                                <w:sz w:val="22"/>
                                <w:szCs w:val="22"/>
                              </w:rPr>
                              <w:t xml:space="preserve">Fax: 202-639-0559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3CE83" id="Text Box 4" o:spid="_x0000_s1027" type="#_x0000_t202" style="position:absolute;margin-left:306pt;margin-top:-4.05pt;width:169.5pt;height:108.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" stroked="f">
                <v:textbox>
                  <w:txbxContent>
                    <w:p w:rsidR="003C0E44" w:rsidRPr="003C0E44" w:rsidRDefault="003C0E44" w:rsidP="003C0E44">
                      <w:pPr>
                        <w:jc w:val="right"/>
                        <w:rPr>
                          <w:b/>
                          <w:sz w:val="22"/>
                          <w:szCs w:val="22"/>
                        </w:rPr>
                      </w:pPr>
                      <w:r w:rsidRPr="003C0E44">
                        <w:rPr>
                          <w:b/>
                          <w:sz w:val="22"/>
                          <w:szCs w:val="22"/>
                        </w:rPr>
                        <w:t>Government Affairs Office</w:t>
                      </w:r>
                    </w:p>
                    <w:p w:rsidR="003C0E44" w:rsidRPr="003C0E44" w:rsidRDefault="003C0E44" w:rsidP="003C0E44">
                      <w:pPr>
                        <w:jc w:val="right"/>
                        <w:rPr>
                          <w:sz w:val="22"/>
                          <w:szCs w:val="22"/>
                        </w:rPr>
                      </w:pPr>
                      <w:r w:rsidRPr="003C0E44">
                        <w:rPr>
                          <w:sz w:val="22"/>
                          <w:szCs w:val="22"/>
                        </w:rPr>
                        <w:t>1025 Vermont Avenue</w:t>
                      </w:r>
                    </w:p>
                    <w:p w:rsidR="003C0E44" w:rsidRPr="003C0E44" w:rsidRDefault="003C0E44" w:rsidP="003C0E44">
                      <w:pPr>
                        <w:jc w:val="right"/>
                        <w:rPr>
                          <w:sz w:val="22"/>
                          <w:szCs w:val="22"/>
                        </w:rPr>
                      </w:pPr>
                      <w:r w:rsidRPr="003C0E44">
                        <w:rPr>
                          <w:sz w:val="22"/>
                          <w:szCs w:val="22"/>
                        </w:rPr>
                        <w:t>Suite 1100</w:t>
                      </w:r>
                    </w:p>
                    <w:p w:rsidR="003C0E44" w:rsidRPr="003C0E44" w:rsidRDefault="003C0E44" w:rsidP="003C0E44">
                      <w:pPr>
                        <w:jc w:val="right"/>
                        <w:rPr>
                          <w:sz w:val="22"/>
                          <w:szCs w:val="22"/>
                        </w:rPr>
                      </w:pPr>
                      <w:r w:rsidRPr="003C0E44">
                        <w:rPr>
                          <w:sz w:val="22"/>
                          <w:szCs w:val="22"/>
                        </w:rPr>
                        <w:t>Washington, D.C. 20005</w:t>
                      </w:r>
                    </w:p>
                    <w:p w:rsidR="003C0E44" w:rsidRPr="003C0E44" w:rsidRDefault="003C0E44" w:rsidP="003C0E44">
                      <w:pPr>
                        <w:jc w:val="right"/>
                        <w:rPr>
                          <w:sz w:val="22"/>
                          <w:szCs w:val="22"/>
                        </w:rPr>
                      </w:pPr>
                      <w:r w:rsidRPr="003C0E44">
                        <w:rPr>
                          <w:sz w:val="22"/>
                          <w:szCs w:val="22"/>
                        </w:rPr>
                        <w:t>202-639-0550</w:t>
                      </w:r>
                    </w:p>
                    <w:p w:rsidR="003C0E44" w:rsidRPr="003C0E44" w:rsidRDefault="003C0E44" w:rsidP="003C0E44">
                      <w:pPr>
                        <w:jc w:val="right"/>
                        <w:rPr>
                          <w:sz w:val="22"/>
                          <w:szCs w:val="22"/>
                        </w:rPr>
                      </w:pPr>
                      <w:r w:rsidRPr="003C0E44">
                        <w:rPr>
                          <w:sz w:val="22"/>
                          <w:szCs w:val="22"/>
                        </w:rPr>
                        <w:t xml:space="preserve">Fax: 202-639-0559 </w:t>
                      </w:r>
                    </w:p>
                  </w:txbxContent>
                </v:textbox>
                <w10:wrap anchorx="margin"/>
              </v:shape>
            </w:pict>
          </mc:Fallback>
        </mc:AlternateContent>
      </w:r>
      <w:r w:rsidRPr="003C0E44">
        <w:rPr>
          <w:noProof/>
          <w:sz w:val="24"/>
          <w:szCs w:val="24"/>
        </w:rPr>
        <mc:AlternateContent>
          <mc:Choice Requires="wps">
            <w:drawing>
              <wp:anchor distT="0" distB="0" distL="114300" distR="114300" simplePos="0" relativeHeight="251659264" behindDoc="0" locked="0" layoutInCell="1" allowOverlap="1" wp14:anchorId="6231D967" wp14:editId="2D6E24C7">
                <wp:simplePos x="0" y="0"/>
                <wp:positionH relativeFrom="column">
                  <wp:posOffset>1600200</wp:posOffset>
                </wp:positionH>
                <wp:positionV relativeFrom="paragraph">
                  <wp:posOffset>-289560</wp:posOffset>
                </wp:positionV>
                <wp:extent cx="2736215" cy="1396365"/>
                <wp:effectExtent l="0" t="0" r="0"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215" cy="1396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1943D1" w14:textId="77777777" w:rsidR="003C0E44" w:rsidRDefault="003C0E44" w:rsidP="003C0E44">
                            <w:pPr>
                              <w:jc w:val="cente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F2F0DA" id="Text Box 2" o:spid="_x0000_s1028" type="#_x0000_t202" style="position:absolute;margin-left:126pt;margin-top:-22.8pt;width:215.45pt;height:109.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" stroked="f">
                <v:textbox style="mso-fit-shape-to-text:t">
                  <w:txbxContent>
                    <w:p w:rsidR="003C0E44" w:rsidRDefault="003C0E44" w:rsidP="003C0E44">
                      <w:pPr>
                        <w:jc w:val="center"/>
                      </w:pPr>
                    </w:p>
                  </w:txbxContent>
                </v:textbox>
                <w10:wrap type="square"/>
              </v:shape>
            </w:pict>
          </mc:Fallback>
        </mc:AlternateContent>
      </w:r>
    </w:p>
    <w:p w14:paraId="3978B3B2" w14:textId="77777777" w:rsidR="003C0E44" w:rsidRPr="003C0E44" w:rsidRDefault="003C0E44" w:rsidP="003C0E44">
      <w:pPr>
        <w:rPr>
          <w:sz w:val="24"/>
          <w:szCs w:val="24"/>
        </w:rPr>
      </w:pPr>
    </w:p>
    <w:p w14:paraId="66929033" w14:textId="77777777" w:rsidR="003C0E44" w:rsidRPr="003C0E44" w:rsidRDefault="003C0E44" w:rsidP="003C0E44">
      <w:pPr>
        <w:rPr>
          <w:sz w:val="24"/>
          <w:szCs w:val="24"/>
        </w:rPr>
      </w:pPr>
    </w:p>
    <w:p w14:paraId="1FB2DAE2" w14:textId="77777777" w:rsidR="003C0E44" w:rsidRPr="003C0E44" w:rsidRDefault="003C0E44" w:rsidP="003C0E44">
      <w:pPr>
        <w:rPr>
          <w:sz w:val="24"/>
          <w:szCs w:val="24"/>
        </w:rPr>
      </w:pPr>
    </w:p>
    <w:p w14:paraId="2B83C839" w14:textId="77777777" w:rsidR="003C0E44" w:rsidRPr="003C0E44" w:rsidRDefault="003C0E44" w:rsidP="003C0E44">
      <w:pPr>
        <w:rPr>
          <w:sz w:val="24"/>
          <w:szCs w:val="24"/>
        </w:rPr>
      </w:pPr>
    </w:p>
    <w:p w14:paraId="79A50E6B" w14:textId="77777777" w:rsidR="00BA1CB5" w:rsidRDefault="00BA1CB5"/>
    <w:p w14:paraId="4C27054C" w14:textId="77777777" w:rsidR="003C0E44" w:rsidRDefault="003C0E44"/>
    <w:p w14:paraId="10031A24" w14:textId="77777777" w:rsidR="003C0E44" w:rsidRDefault="003C0E44"/>
    <w:p w14:paraId="620E8F46" w14:textId="77777777" w:rsidR="003C0E44" w:rsidRDefault="003C0E44"/>
    <w:p w14:paraId="639B531C" w14:textId="77777777" w:rsidR="003C0E44" w:rsidRDefault="003C0E44"/>
    <w:p w14:paraId="58D03B7A" w14:textId="77777777" w:rsidR="003C0E44" w:rsidRPr="003C0E44" w:rsidRDefault="003C0E44">
      <w:pPr>
        <w:rPr>
          <w:sz w:val="24"/>
          <w:szCs w:val="24"/>
        </w:rPr>
      </w:pPr>
      <w:r w:rsidRPr="003C0E44">
        <w:rPr>
          <w:sz w:val="24"/>
          <w:szCs w:val="24"/>
        </w:rPr>
        <w:t xml:space="preserve">Karen </w:t>
      </w:r>
      <w:proofErr w:type="spellStart"/>
      <w:r w:rsidRPr="003C0E44">
        <w:rPr>
          <w:sz w:val="24"/>
          <w:szCs w:val="24"/>
        </w:rPr>
        <w:t>Tritz</w:t>
      </w:r>
      <w:proofErr w:type="spellEnd"/>
    </w:p>
    <w:p w14:paraId="47869D26" w14:textId="77777777" w:rsidR="003C0E44" w:rsidRDefault="003C0E44" w:rsidP="003C0E44">
      <w:pPr>
        <w:autoSpaceDE w:val="0"/>
        <w:autoSpaceDN w:val="0"/>
        <w:adjustRightInd w:val="0"/>
        <w:rPr>
          <w:color w:val="000000"/>
          <w:sz w:val="24"/>
          <w:szCs w:val="24"/>
        </w:rPr>
      </w:pPr>
      <w:r>
        <w:rPr>
          <w:color w:val="000000"/>
          <w:sz w:val="24"/>
          <w:szCs w:val="24"/>
        </w:rPr>
        <w:t xml:space="preserve">Director </w:t>
      </w:r>
    </w:p>
    <w:p w14:paraId="12478EE1" w14:textId="77777777" w:rsidR="003C0E44" w:rsidRDefault="003C0E44" w:rsidP="003C0E44">
      <w:pPr>
        <w:autoSpaceDE w:val="0"/>
        <w:autoSpaceDN w:val="0"/>
        <w:adjustRightInd w:val="0"/>
        <w:rPr>
          <w:color w:val="000000"/>
          <w:sz w:val="24"/>
          <w:szCs w:val="24"/>
        </w:rPr>
      </w:pPr>
      <w:r>
        <w:rPr>
          <w:color w:val="000000"/>
          <w:sz w:val="24"/>
          <w:szCs w:val="24"/>
        </w:rPr>
        <w:t xml:space="preserve">Quality, Safety &amp; Oversight Group </w:t>
      </w:r>
    </w:p>
    <w:p w14:paraId="5E40F992" w14:textId="77777777" w:rsidR="003C0E44" w:rsidRDefault="003C0E44" w:rsidP="003C0E44">
      <w:pPr>
        <w:spacing w:line="264" w:lineRule="auto"/>
        <w:rPr>
          <w:sz w:val="24"/>
          <w:szCs w:val="24"/>
        </w:rPr>
      </w:pPr>
      <w:r>
        <w:rPr>
          <w:sz w:val="24"/>
          <w:szCs w:val="24"/>
        </w:rPr>
        <w:t>Department of Health and Human Services</w:t>
      </w:r>
    </w:p>
    <w:p w14:paraId="7DB339D7" w14:textId="77777777" w:rsidR="003C0E44" w:rsidRDefault="003C0E44" w:rsidP="003C0E44">
      <w:pPr>
        <w:spacing w:line="264" w:lineRule="auto"/>
        <w:rPr>
          <w:sz w:val="24"/>
          <w:szCs w:val="24"/>
        </w:rPr>
      </w:pPr>
      <w:r>
        <w:rPr>
          <w:sz w:val="24"/>
          <w:szCs w:val="24"/>
        </w:rPr>
        <w:t>Centers for Medicare and Medicaid Services</w:t>
      </w:r>
    </w:p>
    <w:p w14:paraId="5FBEEB35" w14:textId="77777777" w:rsidR="003C0E44" w:rsidRDefault="003C0E44" w:rsidP="003C0E44">
      <w:pPr>
        <w:spacing w:line="264" w:lineRule="auto"/>
        <w:rPr>
          <w:sz w:val="24"/>
          <w:szCs w:val="24"/>
        </w:rPr>
      </w:pPr>
      <w:r>
        <w:rPr>
          <w:sz w:val="24"/>
          <w:szCs w:val="24"/>
        </w:rPr>
        <w:t>7500 Security Boulevard, Mail Stop C2-21-16</w:t>
      </w:r>
    </w:p>
    <w:p w14:paraId="3A524511" w14:textId="77777777" w:rsidR="003C0E44" w:rsidRDefault="003C0E44" w:rsidP="003C0E44">
      <w:pPr>
        <w:spacing w:line="264" w:lineRule="auto"/>
        <w:rPr>
          <w:sz w:val="24"/>
          <w:szCs w:val="24"/>
        </w:rPr>
      </w:pPr>
      <w:r>
        <w:rPr>
          <w:sz w:val="24"/>
          <w:szCs w:val="24"/>
        </w:rPr>
        <w:t>Baltimore, Maryland 21244-1850</w:t>
      </w:r>
    </w:p>
    <w:p w14:paraId="01307DD6" w14:textId="77777777" w:rsidR="003C0E44" w:rsidRDefault="003C0E44" w:rsidP="003C0E44">
      <w:pPr>
        <w:tabs>
          <w:tab w:val="left" w:pos="900"/>
        </w:tabs>
        <w:spacing w:line="264" w:lineRule="auto"/>
        <w:rPr>
          <w:sz w:val="24"/>
          <w:szCs w:val="24"/>
        </w:rPr>
      </w:pPr>
      <w:r>
        <w:rPr>
          <w:sz w:val="24"/>
          <w:szCs w:val="24"/>
        </w:rPr>
        <w:tab/>
      </w:r>
    </w:p>
    <w:p w14:paraId="3C583A5B" w14:textId="77777777" w:rsidR="003C0E44" w:rsidRDefault="003C0E44" w:rsidP="003C0E44">
      <w:pPr>
        <w:spacing w:line="264" w:lineRule="auto"/>
        <w:rPr>
          <w:b/>
          <w:sz w:val="24"/>
          <w:szCs w:val="24"/>
        </w:rPr>
      </w:pPr>
      <w:r>
        <w:rPr>
          <w:b/>
          <w:sz w:val="24"/>
          <w:szCs w:val="24"/>
        </w:rPr>
        <w:t>RE: QSO-19-13-Hospital – DRAFT ONLY – Guidance for Hospital Co-location with Other Hospitals or Healthcare Facilities</w:t>
      </w:r>
    </w:p>
    <w:p w14:paraId="1FC39711" w14:textId="77777777" w:rsidR="004610C0" w:rsidRDefault="004610C0" w:rsidP="003C0E44">
      <w:pPr>
        <w:spacing w:line="264" w:lineRule="auto"/>
        <w:rPr>
          <w:b/>
          <w:sz w:val="24"/>
          <w:szCs w:val="24"/>
        </w:rPr>
      </w:pPr>
    </w:p>
    <w:p w14:paraId="2D873C98" w14:textId="77777777" w:rsidR="003C0E44" w:rsidRDefault="003C0E44"/>
    <w:p w14:paraId="382C6FC2" w14:textId="77777777" w:rsidR="003C0E44" w:rsidRPr="004610C0" w:rsidRDefault="003C0E44" w:rsidP="008D3704">
      <w:pPr>
        <w:spacing w:after="120" w:line="360" w:lineRule="auto"/>
        <w:contextualSpacing/>
        <w:rPr>
          <w:bCs/>
          <w:sz w:val="24"/>
          <w:szCs w:val="24"/>
        </w:rPr>
      </w:pPr>
      <w:r w:rsidRPr="004610C0">
        <w:rPr>
          <w:bCs/>
          <w:sz w:val="24"/>
          <w:szCs w:val="24"/>
        </w:rPr>
        <w:t xml:space="preserve">Dear </w:t>
      </w:r>
      <w:proofErr w:type="gramStart"/>
      <w:r w:rsidRPr="004610C0">
        <w:rPr>
          <w:bCs/>
          <w:sz w:val="24"/>
          <w:szCs w:val="24"/>
        </w:rPr>
        <w:t>Director</w:t>
      </w:r>
      <w:proofErr w:type="gramEnd"/>
      <w:r w:rsidR="004610C0" w:rsidRPr="004610C0">
        <w:rPr>
          <w:bCs/>
          <w:sz w:val="24"/>
          <w:szCs w:val="24"/>
        </w:rPr>
        <w:t xml:space="preserve"> </w:t>
      </w:r>
      <w:proofErr w:type="spellStart"/>
      <w:r w:rsidR="004610C0" w:rsidRPr="004610C0">
        <w:rPr>
          <w:bCs/>
          <w:sz w:val="24"/>
          <w:szCs w:val="24"/>
        </w:rPr>
        <w:t>Tritz</w:t>
      </w:r>
      <w:proofErr w:type="spellEnd"/>
      <w:r w:rsidRPr="004610C0">
        <w:rPr>
          <w:bCs/>
          <w:sz w:val="24"/>
          <w:szCs w:val="24"/>
        </w:rPr>
        <w:t xml:space="preserve">, </w:t>
      </w:r>
    </w:p>
    <w:p w14:paraId="1BC82578" w14:textId="77777777" w:rsidR="003C0E44" w:rsidRPr="004610C0" w:rsidRDefault="003C0E44" w:rsidP="008D3704">
      <w:pPr>
        <w:spacing w:line="360" w:lineRule="auto"/>
        <w:rPr>
          <w:b/>
          <w:sz w:val="24"/>
          <w:szCs w:val="24"/>
        </w:rPr>
      </w:pPr>
      <w:r w:rsidRPr="004610C0">
        <w:rPr>
          <w:bCs/>
          <w:sz w:val="24"/>
          <w:szCs w:val="24"/>
        </w:rPr>
        <w:t xml:space="preserve">The National Rural Health Association (NRHA) is pleased to offer comments on the CMS </w:t>
      </w:r>
      <w:r w:rsidR="008D3704" w:rsidRPr="004610C0">
        <w:rPr>
          <w:b/>
          <w:sz w:val="24"/>
          <w:szCs w:val="24"/>
        </w:rPr>
        <w:t>QSO-19-13-Hospital Guidance for Hospital Co-location with Other Hospitals or Healthcare Facilities</w:t>
      </w:r>
      <w:r w:rsidRPr="004610C0">
        <w:rPr>
          <w:bCs/>
          <w:sz w:val="24"/>
          <w:szCs w:val="24"/>
        </w:rPr>
        <w:t xml:space="preserve">. We appreciate your continued commitment to the needs of the 62 million Americans residing in rural areas and look forward to our continued collaboration to improve health care access and quality throughout rural America. </w:t>
      </w:r>
    </w:p>
    <w:p w14:paraId="685224B7" w14:textId="77777777" w:rsidR="003C0E44" w:rsidRPr="004610C0" w:rsidRDefault="003C0E44" w:rsidP="003C0E44">
      <w:pPr>
        <w:spacing w:after="120" w:line="360" w:lineRule="auto"/>
        <w:ind w:firstLine="720"/>
        <w:contextualSpacing/>
        <w:rPr>
          <w:bCs/>
          <w:sz w:val="24"/>
          <w:szCs w:val="24"/>
        </w:rPr>
      </w:pPr>
      <w:r w:rsidRPr="004610C0">
        <w:rPr>
          <w:bCs/>
          <w:sz w:val="24"/>
          <w:szCs w:val="24"/>
        </w:rPr>
        <w:t>NRHA is a non-profit membership organization with more than 21,000 members nationwide that provides leadership on rural health issues. Our membership includes nearly every component of rural America’s health care, including rural community hospitals, critical access hospitals, doctors, nurses and patients. We work to improve rural America’s health needs through government advocacy, communications, education and research.</w:t>
      </w:r>
    </w:p>
    <w:p w14:paraId="32575C32" w14:textId="77777777" w:rsidR="008D3704" w:rsidRPr="004610C0" w:rsidRDefault="008D3704" w:rsidP="008D3704">
      <w:pPr>
        <w:spacing w:after="120" w:line="360" w:lineRule="auto"/>
        <w:contextualSpacing/>
        <w:rPr>
          <w:bCs/>
          <w:sz w:val="24"/>
          <w:szCs w:val="24"/>
        </w:rPr>
      </w:pPr>
    </w:p>
    <w:p w14:paraId="5C78AA3A" w14:textId="77777777" w:rsidR="003C0E44" w:rsidRPr="004610C0" w:rsidRDefault="008D3704" w:rsidP="004610C0">
      <w:pPr>
        <w:spacing w:line="360" w:lineRule="auto"/>
        <w:rPr>
          <w:b/>
          <w:bCs/>
          <w:sz w:val="24"/>
          <w:szCs w:val="24"/>
        </w:rPr>
      </w:pPr>
      <w:r w:rsidRPr="004610C0">
        <w:rPr>
          <w:b/>
          <w:bCs/>
          <w:sz w:val="24"/>
          <w:szCs w:val="24"/>
        </w:rPr>
        <w:t>Comments:</w:t>
      </w:r>
    </w:p>
    <w:p w14:paraId="1C275887" w14:textId="77777777" w:rsidR="008D3704" w:rsidRPr="004610C0" w:rsidRDefault="008D3704" w:rsidP="004610C0">
      <w:pPr>
        <w:spacing w:line="360" w:lineRule="auto"/>
        <w:rPr>
          <w:sz w:val="24"/>
          <w:szCs w:val="24"/>
        </w:rPr>
      </w:pPr>
    </w:p>
    <w:p w14:paraId="2C7BE446" w14:textId="77777777" w:rsidR="008D3704" w:rsidRPr="004610C0" w:rsidRDefault="008D3704" w:rsidP="004610C0">
      <w:pPr>
        <w:spacing w:line="360" w:lineRule="auto"/>
        <w:rPr>
          <w:sz w:val="24"/>
          <w:szCs w:val="24"/>
        </w:rPr>
      </w:pPr>
      <w:r w:rsidRPr="004610C0">
        <w:rPr>
          <w:sz w:val="24"/>
          <w:szCs w:val="24"/>
        </w:rPr>
        <w:t>NRHA appreciates this draft guidance, as it signals a positive step for co-location at non-CAH rural hospitals. We do have concerns about the continued delay of guidance for CAHs</w:t>
      </w:r>
      <w:r w:rsidR="00675B11" w:rsidRPr="004610C0">
        <w:rPr>
          <w:sz w:val="24"/>
          <w:szCs w:val="24"/>
        </w:rPr>
        <w:t xml:space="preserve">, especially due to the importance of visiting specialists. Rural communities with CAHs rely upon visiting </w:t>
      </w:r>
      <w:r w:rsidR="00675B11" w:rsidRPr="004610C0">
        <w:rPr>
          <w:sz w:val="24"/>
          <w:szCs w:val="24"/>
        </w:rPr>
        <w:lastRenderedPageBreak/>
        <w:t>specialists, and it is imperative that the guidance reflect these rural challenges.</w:t>
      </w:r>
      <w:r w:rsidRPr="004610C0">
        <w:rPr>
          <w:sz w:val="24"/>
          <w:szCs w:val="24"/>
        </w:rPr>
        <w:t xml:space="preserve"> </w:t>
      </w:r>
      <w:r w:rsidR="00675B11" w:rsidRPr="004610C0">
        <w:rPr>
          <w:color w:val="0A0A0A"/>
          <w:sz w:val="24"/>
          <w:szCs w:val="24"/>
          <w:shd w:val="clear" w:color="auto" w:fill="FFFFFF"/>
        </w:rPr>
        <w:t xml:space="preserve">Also, NRHA urges CMS to develop more flexible Medicare Conditions of Participation that </w:t>
      </w:r>
      <w:proofErr w:type="gramStart"/>
      <w:r w:rsidR="00675B11" w:rsidRPr="004610C0">
        <w:rPr>
          <w:color w:val="0A0A0A"/>
          <w:sz w:val="24"/>
          <w:szCs w:val="24"/>
          <w:shd w:val="clear" w:color="auto" w:fill="FFFFFF"/>
        </w:rPr>
        <w:t>take into account</w:t>
      </w:r>
      <w:proofErr w:type="gramEnd"/>
      <w:r w:rsidR="00675B11" w:rsidRPr="004610C0">
        <w:rPr>
          <w:color w:val="0A0A0A"/>
          <w:sz w:val="24"/>
          <w:szCs w:val="24"/>
          <w:shd w:val="clear" w:color="auto" w:fill="FFFFFF"/>
        </w:rPr>
        <w:t xml:space="preserve"> rural hospitals' specific circumstance</w:t>
      </w:r>
      <w:r w:rsidR="004610C0" w:rsidRPr="004610C0">
        <w:rPr>
          <w:color w:val="0A0A0A"/>
          <w:sz w:val="24"/>
          <w:szCs w:val="24"/>
          <w:shd w:val="clear" w:color="auto" w:fill="FFFFFF"/>
        </w:rPr>
        <w:t>s.</w:t>
      </w:r>
    </w:p>
    <w:p w14:paraId="27F111DF" w14:textId="77777777" w:rsidR="008D3704" w:rsidRPr="004610C0" w:rsidRDefault="008D3704" w:rsidP="004610C0">
      <w:pPr>
        <w:spacing w:line="360" w:lineRule="auto"/>
        <w:rPr>
          <w:sz w:val="24"/>
          <w:szCs w:val="24"/>
          <w:u w:val="single"/>
        </w:rPr>
      </w:pPr>
    </w:p>
    <w:p w14:paraId="66475394" w14:textId="77777777" w:rsidR="009F2A2D" w:rsidRDefault="00235C47" w:rsidP="004610C0">
      <w:pPr>
        <w:spacing w:line="360" w:lineRule="auto"/>
        <w:rPr>
          <w:b/>
          <w:bCs/>
          <w:sz w:val="24"/>
          <w:szCs w:val="24"/>
          <w:u w:val="single"/>
        </w:rPr>
      </w:pPr>
      <w:r>
        <w:rPr>
          <w:b/>
          <w:bCs/>
          <w:sz w:val="24"/>
          <w:szCs w:val="24"/>
          <w:u w:val="single"/>
        </w:rPr>
        <w:t>Burden on Rural Providers</w:t>
      </w:r>
    </w:p>
    <w:p w14:paraId="595E3E1D" w14:textId="77777777" w:rsidR="009F2A2D" w:rsidRPr="009F2A2D" w:rsidRDefault="009F2A2D" w:rsidP="004610C0">
      <w:pPr>
        <w:spacing w:line="360" w:lineRule="auto"/>
        <w:rPr>
          <w:b/>
          <w:bCs/>
          <w:sz w:val="24"/>
          <w:szCs w:val="24"/>
          <w:u w:val="single"/>
        </w:rPr>
      </w:pPr>
    </w:p>
    <w:p w14:paraId="0F81C737" w14:textId="77777777" w:rsidR="00235C47" w:rsidRPr="009F2A2D" w:rsidRDefault="00235C47" w:rsidP="009F2A2D">
      <w:pPr>
        <w:spacing w:line="360" w:lineRule="auto"/>
        <w:rPr>
          <w:sz w:val="24"/>
          <w:szCs w:val="24"/>
        </w:rPr>
      </w:pPr>
      <w:r w:rsidRPr="009F2A2D">
        <w:rPr>
          <w:sz w:val="24"/>
          <w:szCs w:val="24"/>
        </w:rPr>
        <w:t>Burdensome regulation requirements (such as exclusive entrance, waiting and registration areas, permanent walls, and a distinct suite designation) should not apply to small rural facilities since they are often prohibitively expensive or not physically possible. Current regulation enforcement has seen rural communities lose access to specialists including a pediatric gastroenterologist, gynecological oncologist, and pediatric cardiologist.</w:t>
      </w:r>
    </w:p>
    <w:p w14:paraId="00C432F2" w14:textId="77777777" w:rsidR="00235C47" w:rsidRPr="009F2A2D" w:rsidRDefault="00235C47" w:rsidP="009F2A2D">
      <w:pPr>
        <w:spacing w:line="360" w:lineRule="auto"/>
        <w:rPr>
          <w:sz w:val="24"/>
          <w:szCs w:val="24"/>
        </w:rPr>
      </w:pPr>
    </w:p>
    <w:p w14:paraId="01E3169B" w14:textId="77777777" w:rsidR="00235C47" w:rsidRPr="009F2A2D" w:rsidRDefault="00235C47" w:rsidP="009F2A2D">
      <w:pPr>
        <w:spacing w:line="360" w:lineRule="auto"/>
        <w:rPr>
          <w:sz w:val="24"/>
          <w:szCs w:val="24"/>
        </w:rPr>
      </w:pPr>
      <w:r w:rsidRPr="009F2A2D">
        <w:rPr>
          <w:sz w:val="24"/>
          <w:szCs w:val="24"/>
        </w:rPr>
        <w:t xml:space="preserve">By enforcing these requirements, CMS is exacerbating access issues in rural communities.  In rural America, access to primary care is limited and access to specialty care is even more scare, and rural Americans often travel several hours to seek care.  Visiting specialists are crucial to sustaining access to cardiologist, oncologists, and pediatric surgeons in rural communities. </w:t>
      </w:r>
    </w:p>
    <w:p w14:paraId="7FE6DD9F" w14:textId="77777777" w:rsidR="00235C47" w:rsidRPr="009F2A2D" w:rsidRDefault="00235C47" w:rsidP="009F2A2D">
      <w:pPr>
        <w:spacing w:line="360" w:lineRule="auto"/>
        <w:rPr>
          <w:sz w:val="24"/>
          <w:szCs w:val="24"/>
        </w:rPr>
      </w:pPr>
    </w:p>
    <w:p w14:paraId="56D113A2" w14:textId="77777777" w:rsidR="00235C47" w:rsidRPr="009F2A2D" w:rsidRDefault="00235C47" w:rsidP="009F2A2D">
      <w:pPr>
        <w:spacing w:line="360" w:lineRule="auto"/>
        <w:rPr>
          <w:sz w:val="24"/>
          <w:szCs w:val="24"/>
        </w:rPr>
      </w:pPr>
      <w:r w:rsidRPr="009F2A2D">
        <w:rPr>
          <w:sz w:val="24"/>
          <w:szCs w:val="24"/>
        </w:rPr>
        <w:t>Allowing visiting specialists to utilize provider-based clinics is a cost-effective way to sustain necessary specialty care access.</w:t>
      </w:r>
    </w:p>
    <w:p w14:paraId="2DEB0A8A" w14:textId="77777777" w:rsidR="00235C47" w:rsidRPr="009F2A2D" w:rsidRDefault="00235C47" w:rsidP="009F2A2D">
      <w:pPr>
        <w:spacing w:line="360" w:lineRule="auto"/>
        <w:rPr>
          <w:sz w:val="24"/>
          <w:szCs w:val="24"/>
        </w:rPr>
      </w:pPr>
    </w:p>
    <w:p w14:paraId="2D001E0F" w14:textId="77777777" w:rsidR="00235C47" w:rsidRPr="009F2A2D" w:rsidRDefault="00235C47" w:rsidP="009F2A2D">
      <w:pPr>
        <w:spacing w:line="360" w:lineRule="auto"/>
        <w:rPr>
          <w:sz w:val="24"/>
          <w:szCs w:val="24"/>
        </w:rPr>
      </w:pPr>
      <w:r w:rsidRPr="009F2A2D">
        <w:rPr>
          <w:sz w:val="24"/>
          <w:szCs w:val="24"/>
        </w:rPr>
        <w:t>Rural and frontier hospitals provide medical care in clinics that have limited staff, operational space and financial resources. Visiting specialty physicians have limited ability to provide needed care at outreach clinics due to the enforcement of restrictive CMS policies. For example, only employed physicians or billing contracted physicians can provide services in provider-based clinic settings and CMS also prohibits co-location in the hospital settings. Furthermore, CMS references the Conditions of Participation in their citations, which impedes other specialists who do not bill Medicare, such as pediatric specialists, from reaching these rural populations.</w:t>
      </w:r>
    </w:p>
    <w:p w14:paraId="788DFBB0" w14:textId="77777777" w:rsidR="00235C47" w:rsidRPr="004610C0" w:rsidRDefault="00235C47" w:rsidP="004610C0">
      <w:pPr>
        <w:spacing w:line="360" w:lineRule="auto"/>
        <w:rPr>
          <w:sz w:val="24"/>
          <w:szCs w:val="24"/>
        </w:rPr>
      </w:pPr>
    </w:p>
    <w:p w14:paraId="79FD91C2" w14:textId="77777777" w:rsidR="004610C0" w:rsidRPr="004610C0" w:rsidRDefault="004610C0" w:rsidP="004610C0">
      <w:pPr>
        <w:spacing w:line="360" w:lineRule="auto"/>
        <w:rPr>
          <w:sz w:val="24"/>
          <w:szCs w:val="24"/>
        </w:rPr>
      </w:pPr>
    </w:p>
    <w:p w14:paraId="0FCDC560" w14:textId="77777777" w:rsidR="008D3704" w:rsidRPr="004610C0" w:rsidRDefault="004610C0" w:rsidP="004610C0">
      <w:pPr>
        <w:spacing w:line="360" w:lineRule="auto"/>
        <w:rPr>
          <w:b/>
          <w:bCs/>
          <w:sz w:val="24"/>
          <w:szCs w:val="24"/>
          <w:u w:val="single"/>
        </w:rPr>
      </w:pPr>
      <w:r w:rsidRPr="004610C0">
        <w:rPr>
          <w:b/>
          <w:bCs/>
          <w:sz w:val="24"/>
          <w:szCs w:val="24"/>
          <w:u w:val="single"/>
        </w:rPr>
        <w:t>Shar</w:t>
      </w:r>
      <w:r>
        <w:rPr>
          <w:b/>
          <w:bCs/>
          <w:sz w:val="24"/>
          <w:szCs w:val="24"/>
          <w:u w:val="single"/>
        </w:rPr>
        <w:t>ed</w:t>
      </w:r>
      <w:r w:rsidRPr="004610C0">
        <w:rPr>
          <w:b/>
          <w:bCs/>
          <w:sz w:val="24"/>
          <w:szCs w:val="24"/>
          <w:u w:val="single"/>
        </w:rPr>
        <w:t xml:space="preserve"> Space</w:t>
      </w:r>
    </w:p>
    <w:p w14:paraId="6419BE21" w14:textId="77777777" w:rsidR="00675B11" w:rsidRPr="004610C0" w:rsidRDefault="00675B11" w:rsidP="004610C0">
      <w:pPr>
        <w:spacing w:line="360" w:lineRule="auto"/>
        <w:rPr>
          <w:sz w:val="24"/>
          <w:szCs w:val="24"/>
        </w:rPr>
      </w:pPr>
    </w:p>
    <w:p w14:paraId="4A9FD20D" w14:textId="63A94E86" w:rsidR="00675B11" w:rsidRPr="004610C0" w:rsidRDefault="004610C0" w:rsidP="004610C0">
      <w:pPr>
        <w:spacing w:line="360" w:lineRule="auto"/>
        <w:rPr>
          <w:sz w:val="24"/>
          <w:szCs w:val="24"/>
        </w:rPr>
      </w:pPr>
      <w:r w:rsidRPr="004610C0">
        <w:rPr>
          <w:rFonts w:eastAsia="Calibri"/>
          <w:color w:val="000000"/>
          <w:sz w:val="24"/>
          <w:szCs w:val="24"/>
        </w:rPr>
        <w:lastRenderedPageBreak/>
        <w:t>The</w:t>
      </w:r>
      <w:r w:rsidR="00675B11" w:rsidRPr="004610C0">
        <w:rPr>
          <w:rFonts w:eastAsia="Calibri"/>
          <w:color w:val="000000"/>
          <w:sz w:val="24"/>
          <w:szCs w:val="24"/>
        </w:rPr>
        <w:t xml:space="preserve"> draft guidance suggests that the separation of clinical space is necessary “</w:t>
      </w:r>
      <w:r w:rsidR="00675B11" w:rsidRPr="004610C0">
        <w:rPr>
          <w:sz w:val="24"/>
          <w:szCs w:val="24"/>
        </w:rPr>
        <w:t xml:space="preserve">due to infection control, patient management, confidentiality, and other quality and safety concerns.”  </w:t>
      </w:r>
      <w:r w:rsidRPr="004610C0">
        <w:rPr>
          <w:sz w:val="24"/>
          <w:szCs w:val="24"/>
        </w:rPr>
        <w:t>T</w:t>
      </w:r>
      <w:r w:rsidR="00675B11" w:rsidRPr="004610C0">
        <w:rPr>
          <w:sz w:val="24"/>
          <w:szCs w:val="24"/>
        </w:rPr>
        <w:t>hese concerns could be easily addressed</w:t>
      </w:r>
      <w:r w:rsidR="00E73596">
        <w:rPr>
          <w:sz w:val="24"/>
          <w:szCs w:val="24"/>
        </w:rPr>
        <w:t xml:space="preserve"> for rural PPS and CAH hospitals</w:t>
      </w:r>
      <w:r w:rsidR="00675B11" w:rsidRPr="004610C0">
        <w:rPr>
          <w:sz w:val="24"/>
          <w:szCs w:val="24"/>
        </w:rPr>
        <w:t xml:space="preserve"> by simply not allowing for the sharing of clinical space simultaneously.  </w:t>
      </w:r>
      <w:r w:rsidR="00235C47">
        <w:rPr>
          <w:sz w:val="24"/>
          <w:szCs w:val="24"/>
        </w:rPr>
        <w:t>To solve this problem,</w:t>
      </w:r>
      <w:r w:rsidRPr="004610C0">
        <w:rPr>
          <w:sz w:val="24"/>
          <w:szCs w:val="24"/>
        </w:rPr>
        <w:t xml:space="preserve"> during </w:t>
      </w:r>
      <w:r w:rsidR="00675B11" w:rsidRPr="004610C0">
        <w:rPr>
          <w:sz w:val="24"/>
          <w:szCs w:val="24"/>
        </w:rPr>
        <w:t>the time that the visiting specialists are on site that space would be solely used by the specialist and not be allowed to be used by the CAH</w:t>
      </w:r>
      <w:r w:rsidR="005C4CCE">
        <w:rPr>
          <w:sz w:val="24"/>
          <w:szCs w:val="24"/>
        </w:rPr>
        <w:t xml:space="preserve"> or PPS hospital</w:t>
      </w:r>
      <w:r w:rsidR="00675B11" w:rsidRPr="004610C0">
        <w:rPr>
          <w:sz w:val="24"/>
          <w:szCs w:val="24"/>
        </w:rPr>
        <w:t>.  When the visiting specialists are not on site, the CAH</w:t>
      </w:r>
      <w:r w:rsidR="00D01CB6">
        <w:rPr>
          <w:sz w:val="24"/>
          <w:szCs w:val="24"/>
        </w:rPr>
        <w:t>/PPS hospital</w:t>
      </w:r>
      <w:r w:rsidR="005C4CCE">
        <w:rPr>
          <w:sz w:val="24"/>
          <w:szCs w:val="24"/>
        </w:rPr>
        <w:t xml:space="preserve"> </w:t>
      </w:r>
      <w:r w:rsidR="00675B11" w:rsidRPr="004610C0">
        <w:rPr>
          <w:sz w:val="24"/>
          <w:szCs w:val="24"/>
        </w:rPr>
        <w:t xml:space="preserve">could then revert that space back to </w:t>
      </w:r>
      <w:r w:rsidR="005C4CCE">
        <w:rPr>
          <w:sz w:val="24"/>
          <w:szCs w:val="24"/>
        </w:rPr>
        <w:t>the original</w:t>
      </w:r>
      <w:r w:rsidR="00675B11" w:rsidRPr="004610C0">
        <w:rPr>
          <w:sz w:val="24"/>
          <w:szCs w:val="24"/>
        </w:rPr>
        <w:t xml:space="preserve"> usage. </w:t>
      </w:r>
      <w:r w:rsidRPr="004610C0">
        <w:rPr>
          <w:sz w:val="24"/>
          <w:szCs w:val="24"/>
        </w:rPr>
        <w:t>Our belief is that</w:t>
      </w:r>
      <w:r w:rsidR="00675B11" w:rsidRPr="004610C0">
        <w:rPr>
          <w:sz w:val="24"/>
          <w:szCs w:val="24"/>
        </w:rPr>
        <w:t xml:space="preserve"> it would be appropriate to alleviate any patient confusion by requiring facilities to notify patients when space is being shared with physicians and by adding temporary signage to that effect.  </w:t>
      </w:r>
    </w:p>
    <w:p w14:paraId="704A234C" w14:textId="77777777" w:rsidR="00675B11" w:rsidRPr="004610C0" w:rsidRDefault="00675B11" w:rsidP="004610C0">
      <w:pPr>
        <w:spacing w:line="360" w:lineRule="auto"/>
        <w:rPr>
          <w:sz w:val="24"/>
          <w:szCs w:val="24"/>
        </w:rPr>
      </w:pPr>
    </w:p>
    <w:p w14:paraId="67390DFF" w14:textId="52D2190A" w:rsidR="00675B11" w:rsidRPr="004610C0" w:rsidRDefault="00675B11" w:rsidP="004610C0">
      <w:pPr>
        <w:spacing w:line="360" w:lineRule="auto"/>
        <w:rPr>
          <w:rFonts w:eastAsia="Calibri"/>
          <w:color w:val="000000"/>
          <w:sz w:val="24"/>
          <w:szCs w:val="24"/>
        </w:rPr>
      </w:pPr>
      <w:r w:rsidRPr="004610C0">
        <w:rPr>
          <w:sz w:val="24"/>
          <w:szCs w:val="24"/>
        </w:rPr>
        <w:t>While this goes beyond the scope of the guidance, we would note that alternatives to sharing space are unworkable because they create</w:t>
      </w:r>
      <w:r w:rsidR="005C4CCE">
        <w:rPr>
          <w:sz w:val="24"/>
          <w:szCs w:val="24"/>
        </w:rPr>
        <w:t xml:space="preserve"> unnecessary</w:t>
      </w:r>
      <w:r w:rsidRPr="004610C0">
        <w:rPr>
          <w:sz w:val="24"/>
          <w:szCs w:val="24"/>
        </w:rPr>
        <w:t xml:space="preserve"> complexities</w:t>
      </w:r>
      <w:r w:rsidR="005C4CCE">
        <w:rPr>
          <w:sz w:val="24"/>
          <w:szCs w:val="24"/>
        </w:rPr>
        <w:t>. These complexities</w:t>
      </w:r>
      <w:r w:rsidRPr="004610C0">
        <w:rPr>
          <w:sz w:val="24"/>
          <w:szCs w:val="24"/>
        </w:rPr>
        <w:t xml:space="preserve"> such as calculation of fair market value for facilities</w:t>
      </w:r>
      <w:r w:rsidR="005C4CCE">
        <w:rPr>
          <w:sz w:val="24"/>
          <w:szCs w:val="24"/>
        </w:rPr>
        <w:t xml:space="preserve"> at a time</w:t>
      </w:r>
      <w:r w:rsidRPr="004610C0">
        <w:rPr>
          <w:sz w:val="24"/>
          <w:szCs w:val="24"/>
        </w:rPr>
        <w:t xml:space="preserve"> when many communities have no comparable locations </w:t>
      </w:r>
      <w:r w:rsidR="005C4CCE">
        <w:rPr>
          <w:sz w:val="24"/>
          <w:szCs w:val="24"/>
        </w:rPr>
        <w:t>in addition to</w:t>
      </w:r>
      <w:r w:rsidRPr="004610C0">
        <w:rPr>
          <w:sz w:val="24"/>
          <w:szCs w:val="24"/>
        </w:rPr>
        <w:t xml:space="preserve"> complicated billing scenarios that, in some cases, would end up costing Medicare more. </w:t>
      </w:r>
      <w:r w:rsidRPr="004610C0">
        <w:rPr>
          <w:rFonts w:eastAsia="Calibri"/>
          <w:color w:val="000000"/>
          <w:sz w:val="24"/>
          <w:szCs w:val="24"/>
        </w:rPr>
        <w:t xml:space="preserve">In the past, some CMS regional offices have taken an expansive view of existing law, regulation, and commentary in determining that shared space within a provider-based facility is prohibited.  There actually is nothing in the law or the regulations that addresses shared space.  </w:t>
      </w:r>
    </w:p>
    <w:p w14:paraId="12DAE55A" w14:textId="77777777" w:rsidR="00675B11" w:rsidRPr="004610C0" w:rsidRDefault="00675B11" w:rsidP="004610C0">
      <w:pPr>
        <w:spacing w:line="360" w:lineRule="auto"/>
        <w:rPr>
          <w:rFonts w:eastAsia="Calibri"/>
          <w:color w:val="000000"/>
          <w:sz w:val="24"/>
          <w:szCs w:val="24"/>
        </w:rPr>
      </w:pPr>
    </w:p>
    <w:p w14:paraId="729D6EE1" w14:textId="77777777" w:rsidR="00675B11" w:rsidRDefault="00235C47" w:rsidP="004610C0">
      <w:pPr>
        <w:spacing w:line="360" w:lineRule="auto"/>
        <w:rPr>
          <w:rFonts w:eastAsia="Calibri"/>
          <w:color w:val="000000"/>
          <w:sz w:val="24"/>
          <w:szCs w:val="24"/>
        </w:rPr>
      </w:pPr>
      <w:r>
        <w:rPr>
          <w:rFonts w:eastAsia="Calibri"/>
          <w:color w:val="000000"/>
          <w:sz w:val="24"/>
          <w:szCs w:val="24"/>
        </w:rPr>
        <w:t xml:space="preserve">Rural communities are often the epicenter of innovation. </w:t>
      </w:r>
      <w:r w:rsidR="00675B11" w:rsidRPr="004610C0">
        <w:rPr>
          <w:rFonts w:eastAsia="Calibri"/>
          <w:color w:val="000000"/>
          <w:sz w:val="24"/>
          <w:szCs w:val="24"/>
        </w:rPr>
        <w:t xml:space="preserve">If CMS denies provider-based status to facilities </w:t>
      </w:r>
      <w:proofErr w:type="gramStart"/>
      <w:r w:rsidR="00675B11" w:rsidRPr="004610C0">
        <w:rPr>
          <w:rFonts w:eastAsia="Calibri"/>
          <w:color w:val="000000"/>
          <w:sz w:val="24"/>
          <w:szCs w:val="24"/>
        </w:rPr>
        <w:t>based on the fact that</w:t>
      </w:r>
      <w:proofErr w:type="gramEnd"/>
      <w:r w:rsidR="00675B11" w:rsidRPr="004610C0">
        <w:rPr>
          <w:rFonts w:eastAsia="Calibri"/>
          <w:color w:val="000000"/>
          <w:sz w:val="24"/>
          <w:szCs w:val="24"/>
        </w:rPr>
        <w:t xml:space="preserve"> they share space with visiting specialists or subspecialists, these innovative ways of delivering care</w:t>
      </w:r>
      <w:r>
        <w:rPr>
          <w:rFonts w:eastAsia="Calibri"/>
          <w:color w:val="000000"/>
          <w:sz w:val="24"/>
          <w:szCs w:val="24"/>
        </w:rPr>
        <w:t xml:space="preserve"> will falter</w:t>
      </w:r>
      <w:r w:rsidR="00675B11" w:rsidRPr="004610C0">
        <w:rPr>
          <w:rFonts w:eastAsia="Calibri"/>
          <w:color w:val="000000"/>
          <w:sz w:val="24"/>
          <w:szCs w:val="24"/>
        </w:rPr>
        <w:t xml:space="preserve"> and patients in underserved communities will suffer.</w:t>
      </w:r>
      <w:r>
        <w:rPr>
          <w:rFonts w:eastAsia="Calibri"/>
          <w:color w:val="000000"/>
          <w:sz w:val="24"/>
          <w:szCs w:val="24"/>
        </w:rPr>
        <w:t xml:space="preserve"> There have been examples, such as Montana, of </w:t>
      </w:r>
      <w:r w:rsidR="00675B11" w:rsidRPr="004610C0">
        <w:rPr>
          <w:rFonts w:eastAsia="Calibri"/>
          <w:color w:val="000000"/>
          <w:sz w:val="24"/>
          <w:szCs w:val="24"/>
        </w:rPr>
        <w:t>integrative and innovative solution</w:t>
      </w:r>
      <w:r>
        <w:rPr>
          <w:rFonts w:eastAsia="Calibri"/>
          <w:color w:val="000000"/>
          <w:sz w:val="24"/>
          <w:szCs w:val="24"/>
        </w:rPr>
        <w:t>s</w:t>
      </w:r>
      <w:r w:rsidR="00675B11" w:rsidRPr="004610C0">
        <w:rPr>
          <w:rFonts w:eastAsia="Calibri"/>
          <w:color w:val="000000"/>
          <w:sz w:val="24"/>
          <w:szCs w:val="24"/>
        </w:rPr>
        <w:t xml:space="preserve"> to taking care of its population in rural areas with the limited resources available and th</w:t>
      </w:r>
      <w:r>
        <w:rPr>
          <w:rFonts w:eastAsia="Calibri"/>
          <w:color w:val="000000"/>
          <w:sz w:val="24"/>
          <w:szCs w:val="24"/>
        </w:rPr>
        <w:t>ese</w:t>
      </w:r>
      <w:r w:rsidR="00675B11" w:rsidRPr="004610C0">
        <w:rPr>
          <w:rFonts w:eastAsia="Calibri"/>
          <w:color w:val="000000"/>
          <w:sz w:val="24"/>
          <w:szCs w:val="24"/>
        </w:rPr>
        <w:t xml:space="preserve"> system</w:t>
      </w:r>
      <w:r>
        <w:rPr>
          <w:rFonts w:eastAsia="Calibri"/>
          <w:color w:val="000000"/>
          <w:sz w:val="24"/>
          <w:szCs w:val="24"/>
        </w:rPr>
        <w:t>s</w:t>
      </w:r>
      <w:r w:rsidR="00675B11" w:rsidRPr="004610C0">
        <w:rPr>
          <w:rFonts w:eastAsia="Calibri"/>
          <w:color w:val="000000"/>
          <w:sz w:val="24"/>
          <w:szCs w:val="24"/>
        </w:rPr>
        <w:t xml:space="preserve"> has worked well.</w:t>
      </w:r>
      <w:r>
        <w:rPr>
          <w:rFonts w:eastAsia="Calibri"/>
          <w:color w:val="000000"/>
          <w:sz w:val="24"/>
          <w:szCs w:val="24"/>
        </w:rPr>
        <w:t xml:space="preserve"> CMS has stated their desire for innovation in health care, and if not changed, that innovation will be stymied in rural America.</w:t>
      </w:r>
    </w:p>
    <w:p w14:paraId="1CB3AEFE" w14:textId="77777777" w:rsidR="009F2A2D" w:rsidRDefault="009F2A2D" w:rsidP="004610C0">
      <w:pPr>
        <w:spacing w:line="360" w:lineRule="auto"/>
        <w:rPr>
          <w:rFonts w:eastAsia="Calibri"/>
          <w:color w:val="000000"/>
          <w:sz w:val="24"/>
          <w:szCs w:val="24"/>
        </w:rPr>
      </w:pPr>
    </w:p>
    <w:p w14:paraId="344D067D" w14:textId="77777777" w:rsidR="009F2A2D" w:rsidRPr="009F2A2D" w:rsidRDefault="009F2A2D" w:rsidP="009F2A2D">
      <w:pPr>
        <w:spacing w:line="360" w:lineRule="auto"/>
        <w:rPr>
          <w:sz w:val="24"/>
          <w:szCs w:val="24"/>
        </w:rPr>
      </w:pPr>
      <w:r w:rsidRPr="009F2A2D">
        <w:rPr>
          <w:bCs/>
          <w:sz w:val="24"/>
          <w:szCs w:val="24"/>
        </w:rPr>
        <w:t xml:space="preserve">We very much look forward to continuing our work together to ensure our mutual goal of improving quality of and access to necessary care in rural America.  </w:t>
      </w:r>
      <w:r w:rsidRPr="009F2A2D">
        <w:rPr>
          <w:sz w:val="24"/>
          <w:szCs w:val="24"/>
        </w:rPr>
        <w:t>If you have any questions, please have your staff contact Max Isaacoff at misaacoff@nrharural.org or 202-639-0550 to discuss our concerns. We look forward to hearing from you.</w:t>
      </w:r>
    </w:p>
    <w:p w14:paraId="09FEB671" w14:textId="77777777" w:rsidR="009F2A2D" w:rsidRPr="009F2A2D" w:rsidRDefault="009F2A2D" w:rsidP="009F2A2D">
      <w:pPr>
        <w:spacing w:line="360" w:lineRule="auto"/>
        <w:rPr>
          <w:bCs/>
          <w:sz w:val="24"/>
          <w:szCs w:val="24"/>
        </w:rPr>
      </w:pPr>
    </w:p>
    <w:p w14:paraId="0BA9B60A" w14:textId="77777777" w:rsidR="009F2A2D" w:rsidRPr="009F2A2D" w:rsidRDefault="009F2A2D" w:rsidP="009F2A2D">
      <w:pPr>
        <w:spacing w:line="360" w:lineRule="auto"/>
        <w:rPr>
          <w:bCs/>
          <w:sz w:val="24"/>
          <w:szCs w:val="24"/>
        </w:rPr>
      </w:pPr>
      <w:r w:rsidRPr="009F2A2D">
        <w:rPr>
          <w:bCs/>
          <w:sz w:val="24"/>
          <w:szCs w:val="24"/>
        </w:rPr>
        <w:t>Sincerely,</w:t>
      </w:r>
    </w:p>
    <w:p w14:paraId="08B95ED3" w14:textId="77777777" w:rsidR="009F2A2D" w:rsidRPr="009F2A2D" w:rsidRDefault="009F2A2D" w:rsidP="009F2A2D">
      <w:pPr>
        <w:spacing w:line="360" w:lineRule="auto"/>
        <w:rPr>
          <w:bCs/>
          <w:sz w:val="24"/>
          <w:szCs w:val="24"/>
        </w:rPr>
      </w:pPr>
      <w:r w:rsidRPr="009F2A2D">
        <w:rPr>
          <w:bCs/>
          <w:noProof/>
          <w:sz w:val="24"/>
          <w:szCs w:val="24"/>
        </w:rPr>
        <w:drawing>
          <wp:anchor distT="0" distB="0" distL="114300" distR="114300" simplePos="0" relativeHeight="251664384" behindDoc="1" locked="0" layoutInCell="1" allowOverlap="1" wp14:anchorId="7585B065" wp14:editId="24CD052F">
            <wp:simplePos x="0" y="0"/>
            <wp:positionH relativeFrom="column">
              <wp:posOffset>-200025</wp:posOffset>
            </wp:positionH>
            <wp:positionV relativeFrom="paragraph">
              <wp:posOffset>27940</wp:posOffset>
            </wp:positionV>
            <wp:extent cx="2190750" cy="409575"/>
            <wp:effectExtent l="19050" t="0" r="0" b="0"/>
            <wp:wrapTight wrapText="bothSides">
              <wp:wrapPolygon edited="0">
                <wp:start x="-188" y="0"/>
                <wp:lineTo x="-188" y="21098"/>
                <wp:lineTo x="21600" y="21098"/>
                <wp:lineTo x="21600" y="0"/>
                <wp:lineTo x="-188" y="0"/>
              </wp:wrapPolygon>
            </wp:wrapTight>
            <wp:docPr id="7" name="Picture 2" descr="alan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an sig"/>
                    <pic:cNvPicPr>
                      <a:picLocks noChangeAspect="1" noChangeArrowheads="1"/>
                    </pic:cNvPicPr>
                  </pic:nvPicPr>
                  <pic:blipFill>
                    <a:blip r:embed="rId5" cstate="print"/>
                    <a:srcRect/>
                    <a:stretch>
                      <a:fillRect/>
                    </a:stretch>
                  </pic:blipFill>
                  <pic:spPr bwMode="auto">
                    <a:xfrm>
                      <a:off x="0" y="0"/>
                      <a:ext cx="2190750" cy="409575"/>
                    </a:xfrm>
                    <a:prstGeom prst="rect">
                      <a:avLst/>
                    </a:prstGeom>
                    <a:noFill/>
                    <a:ln w="9525">
                      <a:noFill/>
                      <a:miter lim="800000"/>
                      <a:headEnd/>
                      <a:tailEnd/>
                    </a:ln>
                  </pic:spPr>
                </pic:pic>
              </a:graphicData>
            </a:graphic>
          </wp:anchor>
        </w:drawing>
      </w:r>
    </w:p>
    <w:p w14:paraId="4A77792D" w14:textId="77777777" w:rsidR="009F2A2D" w:rsidRPr="009F2A2D" w:rsidRDefault="009F2A2D" w:rsidP="009F2A2D">
      <w:pPr>
        <w:spacing w:line="360" w:lineRule="auto"/>
        <w:rPr>
          <w:bCs/>
          <w:sz w:val="24"/>
          <w:szCs w:val="24"/>
        </w:rPr>
      </w:pPr>
    </w:p>
    <w:p w14:paraId="647099D9" w14:textId="77777777" w:rsidR="009F2A2D" w:rsidRPr="009F2A2D" w:rsidRDefault="009F2A2D" w:rsidP="009F2A2D">
      <w:pPr>
        <w:spacing w:line="360" w:lineRule="auto"/>
        <w:rPr>
          <w:bCs/>
          <w:sz w:val="24"/>
          <w:szCs w:val="24"/>
        </w:rPr>
      </w:pPr>
    </w:p>
    <w:p w14:paraId="4ECB0641" w14:textId="77777777" w:rsidR="009F2A2D" w:rsidRPr="009F2A2D" w:rsidRDefault="009F2A2D" w:rsidP="009F2A2D">
      <w:pPr>
        <w:spacing w:line="360" w:lineRule="auto"/>
        <w:rPr>
          <w:bCs/>
          <w:sz w:val="24"/>
          <w:szCs w:val="24"/>
        </w:rPr>
      </w:pPr>
      <w:r w:rsidRPr="009F2A2D">
        <w:rPr>
          <w:bCs/>
          <w:sz w:val="24"/>
          <w:szCs w:val="24"/>
        </w:rPr>
        <w:t>Alan Morgan</w:t>
      </w:r>
    </w:p>
    <w:p w14:paraId="5DBBBF15" w14:textId="77777777" w:rsidR="009F2A2D" w:rsidRPr="009F2A2D" w:rsidRDefault="009F2A2D" w:rsidP="009F2A2D">
      <w:pPr>
        <w:spacing w:line="360" w:lineRule="auto"/>
        <w:rPr>
          <w:bCs/>
          <w:sz w:val="24"/>
          <w:szCs w:val="24"/>
        </w:rPr>
      </w:pPr>
      <w:r w:rsidRPr="009F2A2D">
        <w:rPr>
          <w:bCs/>
          <w:sz w:val="24"/>
          <w:szCs w:val="24"/>
        </w:rPr>
        <w:t>Chief Executive Officer</w:t>
      </w:r>
    </w:p>
    <w:p w14:paraId="069E6FCF" w14:textId="77777777" w:rsidR="009F2A2D" w:rsidRPr="009F2A2D" w:rsidRDefault="009F2A2D" w:rsidP="009F2A2D">
      <w:pPr>
        <w:spacing w:line="360" w:lineRule="auto"/>
        <w:rPr>
          <w:bCs/>
          <w:sz w:val="24"/>
          <w:szCs w:val="24"/>
        </w:rPr>
      </w:pPr>
      <w:r w:rsidRPr="009F2A2D">
        <w:rPr>
          <w:bCs/>
          <w:sz w:val="24"/>
          <w:szCs w:val="24"/>
        </w:rPr>
        <w:t>National Rural Health Association</w:t>
      </w:r>
    </w:p>
    <w:p w14:paraId="07341040" w14:textId="77777777" w:rsidR="009F2A2D" w:rsidRDefault="009F2A2D" w:rsidP="004610C0">
      <w:pPr>
        <w:spacing w:line="360" w:lineRule="auto"/>
        <w:rPr>
          <w:rFonts w:eastAsia="Calibri"/>
          <w:color w:val="000000"/>
          <w:sz w:val="24"/>
          <w:szCs w:val="24"/>
        </w:rPr>
      </w:pPr>
    </w:p>
    <w:p w14:paraId="736015A1" w14:textId="77777777" w:rsidR="00235C47" w:rsidRDefault="00235C47" w:rsidP="004610C0">
      <w:pPr>
        <w:spacing w:line="360" w:lineRule="auto"/>
        <w:rPr>
          <w:rFonts w:eastAsia="Calibri"/>
          <w:color w:val="000000"/>
          <w:sz w:val="24"/>
          <w:szCs w:val="24"/>
        </w:rPr>
      </w:pPr>
    </w:p>
    <w:p w14:paraId="482AAC09" w14:textId="77777777" w:rsidR="008D3704" w:rsidRPr="004610C0" w:rsidRDefault="008D3704" w:rsidP="004610C0">
      <w:pPr>
        <w:spacing w:line="360" w:lineRule="auto"/>
        <w:rPr>
          <w:sz w:val="24"/>
          <w:szCs w:val="24"/>
        </w:rPr>
      </w:pPr>
    </w:p>
    <w:sectPr w:rsidR="008D3704" w:rsidRPr="004610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E44"/>
    <w:rsid w:val="001371DE"/>
    <w:rsid w:val="00235C47"/>
    <w:rsid w:val="003C0E44"/>
    <w:rsid w:val="004610C0"/>
    <w:rsid w:val="005C4CCE"/>
    <w:rsid w:val="00675B11"/>
    <w:rsid w:val="008D3704"/>
    <w:rsid w:val="009F2A2D"/>
    <w:rsid w:val="00BA1CB5"/>
    <w:rsid w:val="00D01CB6"/>
    <w:rsid w:val="00E73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DF73C"/>
  <w15:chartTrackingRefBased/>
  <w15:docId w15:val="{29AFCF8B-EA57-4347-ACB1-EE2CDD1F8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E4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5C47"/>
    <w:pPr>
      <w:ind w:left="720"/>
      <w:contextualSpacing/>
    </w:pPr>
    <w:rPr>
      <w:rFonts w:ascii="Helvetica" w:eastAsiaTheme="minorHAnsi" w:hAnsi="Helvetica"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53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895</Words>
  <Characters>5107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Maxwell Isaacoff</dc:creator>
  <cp:keywords/>
  <dc:description/>
  <cp:lastModifiedBy>Mason Zeagler</cp:lastModifiedBy>
  <cp:revision>2</cp:revision>
  <dcterms:created xsi:type="dcterms:W3CDTF">2019-07-01T18:10:00Z</dcterms:created>
  <dcterms:modified xsi:type="dcterms:W3CDTF">2019-07-01T18:10:00Z</dcterms:modified>
</cp:coreProperties>
</file>